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A6A45" w14:textId="77777777" w:rsidR="00BA4174" w:rsidRPr="00CC2C8B" w:rsidRDefault="00BA4174" w:rsidP="00CC2C8B">
      <w:pPr>
        <w:jc w:val="center"/>
        <w:rPr>
          <w:b/>
        </w:rPr>
      </w:pPr>
      <w:r w:rsidRPr="00CC2C8B">
        <w:rPr>
          <w:b/>
        </w:rPr>
        <w:t xml:space="preserve">Forced </w:t>
      </w:r>
      <w:r w:rsidR="00CC2C8B" w:rsidRPr="00CC2C8B">
        <w:rPr>
          <w:b/>
        </w:rPr>
        <w:t>p</w:t>
      </w:r>
      <w:r w:rsidRPr="00CC2C8B">
        <w:rPr>
          <w:b/>
        </w:rPr>
        <w:t xml:space="preserve">sychiatric </w:t>
      </w:r>
      <w:r w:rsidR="00956B48">
        <w:rPr>
          <w:b/>
        </w:rPr>
        <w:t>interventions: right to remedy and reparation</w:t>
      </w:r>
    </w:p>
    <w:p w14:paraId="4FBBABA3" w14:textId="77777777" w:rsidR="003A51A9" w:rsidRPr="00CC2C8B" w:rsidRDefault="003A51A9">
      <w:pPr>
        <w:rPr>
          <w:u w:val="single"/>
        </w:rPr>
      </w:pPr>
    </w:p>
    <w:p w14:paraId="6DB46C7F" w14:textId="77777777" w:rsidR="00BD0CFE" w:rsidRDefault="00956B48">
      <w:pPr>
        <w:jc w:val="center"/>
      </w:pPr>
      <w:r>
        <w:t>Tina Minkowitz</w:t>
      </w:r>
    </w:p>
    <w:p w14:paraId="3DB32DA3" w14:textId="77777777" w:rsidR="005B1754" w:rsidRPr="00CC2C8B" w:rsidRDefault="005B1754">
      <w:pPr>
        <w:rPr>
          <w:u w:val="single"/>
        </w:rPr>
      </w:pPr>
    </w:p>
    <w:p w14:paraId="1DEA9677" w14:textId="77777777" w:rsidR="00BA4174" w:rsidRPr="00CC2C8B" w:rsidRDefault="00BA4174">
      <w:pPr>
        <w:rPr>
          <w:u w:val="single"/>
        </w:rPr>
      </w:pPr>
    </w:p>
    <w:p w14:paraId="4B9B1B50" w14:textId="77777777" w:rsidR="00BA4174" w:rsidRPr="00CC2C8B" w:rsidRDefault="00BA4174"/>
    <w:p w14:paraId="18739BDD" w14:textId="77777777" w:rsidR="002D0A3F" w:rsidRPr="00CC2C8B" w:rsidRDefault="00956B48">
      <w:r>
        <w:t>The international right to remedy and reparation can be used as a framework to demand an end to psychiatric abuse, apologies, services and support for victims/survivors, and changes in social institutions and official policy.  The UN Convention on the Rights of Persons with Disabilities (CRPD)</w:t>
      </w:r>
      <w:r w:rsidR="002A7A07">
        <w:t xml:space="preserve"> </w:t>
      </w:r>
      <w:r w:rsidR="00CC2C8B">
        <w:t>is being</w:t>
      </w:r>
      <w:r w:rsidR="00141065" w:rsidRPr="00CC2C8B">
        <w:t xml:space="preserve"> use</w:t>
      </w:r>
      <w:r w:rsidR="00CC2C8B">
        <w:t>d</w:t>
      </w:r>
      <w:r w:rsidR="00141065" w:rsidRPr="00CC2C8B">
        <w:t xml:space="preserve"> by UN human rights mechanisms as authoritative guidance superseding earlier standards that are less protective of human rights</w:t>
      </w:r>
      <w:r w:rsidR="00CC2C8B">
        <w:t xml:space="preserve"> and this gives</w:t>
      </w:r>
      <w:r w:rsidR="00141065" w:rsidRPr="00CC2C8B">
        <w:t xml:space="preserve"> a good basis for these demands in international law and several potential </w:t>
      </w:r>
      <w:r w:rsidR="009E1075" w:rsidRPr="00CC2C8B">
        <w:t>avenues for advocacy.</w:t>
      </w:r>
      <w:r w:rsidR="00AB402D" w:rsidRPr="00CC2C8B">
        <w:t xml:space="preserve">  </w:t>
      </w:r>
    </w:p>
    <w:p w14:paraId="262F31EC" w14:textId="77777777" w:rsidR="002D0A3F" w:rsidRDefault="002D0A3F"/>
    <w:p w14:paraId="7B9AECE5" w14:textId="77777777" w:rsidR="00CC2C8B" w:rsidRDefault="00CC2C8B">
      <w:pPr>
        <w:rPr>
          <w:b/>
        </w:rPr>
      </w:pPr>
      <w:r>
        <w:rPr>
          <w:b/>
        </w:rPr>
        <w:t>Forced psychiatry as ‘torture’</w:t>
      </w:r>
    </w:p>
    <w:p w14:paraId="017EF5F2" w14:textId="77777777" w:rsidR="00CC2C8B" w:rsidRPr="00CC2C8B" w:rsidRDefault="00CC2C8B">
      <w:pPr>
        <w:rPr>
          <w:b/>
        </w:rPr>
      </w:pPr>
    </w:p>
    <w:p w14:paraId="7EADF5D7" w14:textId="77777777" w:rsidR="00BA4174" w:rsidRPr="00CC2C8B" w:rsidRDefault="00CC2C8B">
      <w:r>
        <w:t>In the report submitted to the UN General Assembly in 2008, t</w:t>
      </w:r>
      <w:r w:rsidR="002D0A3F" w:rsidRPr="00CC2C8B">
        <w:t>he Special Rapporteur on Torture recogni</w:t>
      </w:r>
      <w:r>
        <w:t>s</w:t>
      </w:r>
      <w:r w:rsidR="002D0A3F" w:rsidRPr="00CC2C8B">
        <w:t>ed that forced psychiatric interventions such as administration of electroshock or mind-altering drugs</w:t>
      </w:r>
      <w:r w:rsidR="008D3805">
        <w:t>,</w:t>
      </w:r>
      <w:r w:rsidR="002D0A3F" w:rsidRPr="00CC2C8B">
        <w:t xml:space="preserve"> without the free and informed consent of the person concerned, may amount to torture and ill-treatment. </w:t>
      </w:r>
      <w:r w:rsidR="00EA25DB" w:rsidRPr="00CC2C8B">
        <w:t xml:space="preserve"> The Rapporteur drew particularly on the linkage with disability-based discrimination, since discrimination is one of the motives recogni</w:t>
      </w:r>
      <w:r w:rsidR="00954625">
        <w:t>s</w:t>
      </w:r>
      <w:r w:rsidR="00EA25DB" w:rsidRPr="00CC2C8B">
        <w:t>ed in the international definition of torture</w:t>
      </w:r>
      <w:r w:rsidR="0026141F" w:rsidRPr="00CC2C8B">
        <w:t>.</w:t>
      </w:r>
      <w:r w:rsidR="00956B48" w:rsidRPr="00956B48">
        <w:rPr>
          <w:vertAlign w:val="superscript"/>
        </w:rPr>
        <w:t>1</w:t>
      </w:r>
      <w:r w:rsidR="00EA25DB" w:rsidRPr="00CC2C8B">
        <w:t xml:space="preserve"> This recognition adopts a victim’s perspective identifying forced psychiatry as an act of aggression and infliction of harm</w:t>
      </w:r>
      <w:r w:rsidR="00861111">
        <w:t>, and</w:t>
      </w:r>
      <w:r w:rsidR="00EA25DB" w:rsidRPr="00CC2C8B">
        <w:t xml:space="preserve"> argues for the seriousness of the violation, since prohibition</w:t>
      </w:r>
      <w:r w:rsidR="00594515" w:rsidRPr="00954625">
        <w:t xml:space="preserve"> of torture is a universal norm</w:t>
      </w:r>
      <w:r w:rsidR="00954625">
        <w:t xml:space="preserve">. </w:t>
      </w:r>
      <w:r w:rsidR="00EA25DB" w:rsidRPr="00CC2C8B">
        <w:t xml:space="preserve">  </w:t>
      </w:r>
    </w:p>
    <w:p w14:paraId="72BD2A65" w14:textId="77777777" w:rsidR="00BA4174" w:rsidRPr="00CC2C8B" w:rsidRDefault="00BA4174"/>
    <w:p w14:paraId="5E1062A5" w14:textId="77777777" w:rsidR="00BA4174" w:rsidRPr="00D26F04" w:rsidRDefault="00956B48">
      <w:pPr>
        <w:rPr>
          <w:b/>
        </w:rPr>
      </w:pPr>
      <w:r w:rsidRPr="00956B48">
        <w:rPr>
          <w:b/>
        </w:rPr>
        <w:t xml:space="preserve">Right to a </w:t>
      </w:r>
      <w:r w:rsidR="00D26F04">
        <w:rPr>
          <w:b/>
        </w:rPr>
        <w:t>r</w:t>
      </w:r>
      <w:r w:rsidRPr="00956B48">
        <w:rPr>
          <w:b/>
        </w:rPr>
        <w:t xml:space="preserve">emedy and </w:t>
      </w:r>
      <w:r w:rsidR="00D26F04">
        <w:rPr>
          <w:b/>
        </w:rPr>
        <w:t>r</w:t>
      </w:r>
      <w:r w:rsidRPr="00956B48">
        <w:rPr>
          <w:b/>
        </w:rPr>
        <w:t>eparations</w:t>
      </w:r>
    </w:p>
    <w:p w14:paraId="35A53AD2" w14:textId="77777777" w:rsidR="00141065" w:rsidRPr="00CC2C8B" w:rsidRDefault="00141065"/>
    <w:p w14:paraId="1ECE4CD4" w14:textId="77777777" w:rsidR="00DA7E2C" w:rsidRPr="00CC2C8B" w:rsidRDefault="00956B48">
      <w:r>
        <w:t xml:space="preserve">In 2006, the UN General Assembly adopted </w:t>
      </w:r>
      <w:r w:rsidR="00D26F04">
        <w:t>the</w:t>
      </w:r>
      <w:r w:rsidR="000E769B" w:rsidRPr="00AC72D2">
        <w:t xml:space="preserve"> </w:t>
      </w:r>
      <w:r w:rsidRPr="00956B48">
        <w:rPr>
          <w:i/>
        </w:rPr>
        <w:t>Basic Principles and Guidelines on the Right to a Remedy and Reparation for Victims of Gross Violations of International Human Rights Law and Serious Violations of International Humanitarian Law</w:t>
      </w:r>
      <w:r w:rsidR="000E769B" w:rsidRPr="00AC72D2">
        <w:t>.</w:t>
      </w:r>
      <w:r w:rsidR="000E769B" w:rsidRPr="00CC2C8B">
        <w:t xml:space="preserve">  </w:t>
      </w:r>
      <w:r w:rsidR="00D26F04">
        <w:t>The Guidelines do not define ‘g</w:t>
      </w:r>
      <w:r w:rsidR="000E769B" w:rsidRPr="00CC2C8B">
        <w:t>ross</w:t>
      </w:r>
      <w:r w:rsidR="00D26F04">
        <w:t>’</w:t>
      </w:r>
      <w:r w:rsidR="000E769B" w:rsidRPr="00CC2C8B">
        <w:t xml:space="preserve"> violations</w:t>
      </w:r>
      <w:r w:rsidR="00D26F04">
        <w:t>,</w:t>
      </w:r>
      <w:r w:rsidR="00712147">
        <w:t xml:space="preserve"> but the preamble </w:t>
      </w:r>
      <w:r w:rsidR="00D26F04">
        <w:t xml:space="preserve">describes </w:t>
      </w:r>
      <w:r w:rsidR="00712147">
        <w:t xml:space="preserve">these as constituting </w:t>
      </w:r>
      <w:r w:rsidR="00D26F04">
        <w:t>‘</w:t>
      </w:r>
      <w:r w:rsidR="00712147">
        <w:t>an affront to human</w:t>
      </w:r>
      <w:r w:rsidR="00D26F04">
        <w:t xml:space="preserve"> dignit</w:t>
      </w:r>
      <w:r w:rsidR="00712147">
        <w:t>y</w:t>
      </w:r>
      <w:r w:rsidR="00D26F04">
        <w:t>’</w:t>
      </w:r>
      <w:r w:rsidR="00712147">
        <w:t xml:space="preserve"> by their grave nature.</w:t>
      </w:r>
      <w:r w:rsidR="000E769B" w:rsidRPr="00CC2C8B">
        <w:t xml:space="preserve"> </w:t>
      </w:r>
      <w:r w:rsidR="00DA7E2C" w:rsidRPr="00CC2C8B">
        <w:t>Forced psychiatric interventions affront human dignity by invading body and mind, marking human beings for segregation and severing their relationships with family and community.</w:t>
      </w:r>
      <w:r w:rsidRPr="00956B48">
        <w:rPr>
          <w:vertAlign w:val="superscript"/>
        </w:rPr>
        <w:t>2</w:t>
      </w:r>
      <w:r w:rsidR="00DA7E2C" w:rsidRPr="00CC2C8B">
        <w:t xml:space="preserve">  </w:t>
      </w:r>
    </w:p>
    <w:p w14:paraId="6B661FE1" w14:textId="77777777" w:rsidR="00141065" w:rsidRPr="00CC2C8B" w:rsidRDefault="00141065"/>
    <w:p w14:paraId="47E1E3CA" w14:textId="77777777" w:rsidR="00141065" w:rsidRPr="00CC2C8B" w:rsidRDefault="00956B48">
      <w:r>
        <w:t>The framework deliberately adopts a perspective of solidarity with victims,</w:t>
      </w:r>
      <w:r w:rsidR="00AD749A" w:rsidRPr="00CC2C8B">
        <w:t xml:space="preserve"> sensitive to the need for both individual and collective measures, the relationship between h</w:t>
      </w:r>
      <w:r w:rsidR="00BB6F59" w:rsidRPr="00712147">
        <w:t xml:space="preserve">ealing and justice, and the impact of violations on society as a whole.  </w:t>
      </w:r>
      <w:r w:rsidR="008327FF" w:rsidRPr="00712147">
        <w:t>It is only when victims, perpetrators and communities come together with a commitment to ac</w:t>
      </w:r>
      <w:r>
        <w:t xml:space="preserve">knowledge and repair the harm done, to move forward with a new orientation in which former victims are valued witnesses and teachers, that a pattern of abuse can truly be ended.  </w:t>
      </w:r>
    </w:p>
    <w:p w14:paraId="3FEC892F" w14:textId="77777777" w:rsidR="00141065" w:rsidRDefault="00141065"/>
    <w:p w14:paraId="7057B0E1" w14:textId="77777777" w:rsidR="0034089F" w:rsidRDefault="0034089F">
      <w:pPr>
        <w:rPr>
          <w:b/>
        </w:rPr>
      </w:pPr>
      <w:r>
        <w:rPr>
          <w:b/>
        </w:rPr>
        <w:t xml:space="preserve">What constitutes </w:t>
      </w:r>
      <w:r w:rsidR="00834521">
        <w:rPr>
          <w:b/>
        </w:rPr>
        <w:t>reparation?</w:t>
      </w:r>
    </w:p>
    <w:p w14:paraId="6F299BA6" w14:textId="77777777" w:rsidR="0034089F" w:rsidRPr="0034089F" w:rsidRDefault="0034089F">
      <w:pPr>
        <w:rPr>
          <w:b/>
        </w:rPr>
      </w:pPr>
    </w:p>
    <w:p w14:paraId="2A452F82" w14:textId="77777777" w:rsidR="000E769B" w:rsidRPr="00CC2C8B" w:rsidRDefault="00B4272A">
      <w:r w:rsidRPr="0034089F">
        <w:lastRenderedPageBreak/>
        <w:t xml:space="preserve">According to the </w:t>
      </w:r>
      <w:r w:rsidR="0034089F">
        <w:t xml:space="preserve">UN </w:t>
      </w:r>
      <w:r w:rsidRPr="0034089F">
        <w:t>Guidelines, victims have the right to</w:t>
      </w:r>
      <w:r w:rsidR="00834521">
        <w:t xml:space="preserve"> equal</w:t>
      </w:r>
      <w:r w:rsidRPr="00861111">
        <w:t xml:space="preserve"> and effective access to justice</w:t>
      </w:r>
      <w:r w:rsidR="00834521">
        <w:t>, a</w:t>
      </w:r>
      <w:r w:rsidRPr="00AC72D2">
        <w:t>dequate and prompt reparation for harm suffered</w:t>
      </w:r>
      <w:r w:rsidR="00834521">
        <w:t>, and</w:t>
      </w:r>
      <w:r w:rsidRPr="00AC72D2">
        <w:t xml:space="preserve"> </w:t>
      </w:r>
      <w:r w:rsidR="00834521">
        <w:t>a</w:t>
      </w:r>
      <w:r w:rsidRPr="00AC72D2">
        <w:t>ccess to relevant information concerning violations and reparation mechanisms</w:t>
      </w:r>
      <w:r w:rsidR="00834521">
        <w:t xml:space="preserve">. </w:t>
      </w:r>
      <w:r w:rsidR="00956B48">
        <w:t xml:space="preserve">Forms of reparation include restitution, compensation, rehabilitation, satisfaction and guarantees of non-repetition.  </w:t>
      </w:r>
    </w:p>
    <w:p w14:paraId="3B3C5FF9" w14:textId="77777777" w:rsidR="000E769B" w:rsidRPr="00CC2C8B" w:rsidRDefault="000E769B"/>
    <w:p w14:paraId="163AB3D1" w14:textId="77777777" w:rsidR="00AB402D" w:rsidRPr="00954625" w:rsidRDefault="00AC72D2">
      <w:r>
        <w:t>The Guidelines specify how these could be done.</w:t>
      </w:r>
      <w:r w:rsidR="00956B48">
        <w:t xml:space="preserve"> Restitution aims to “restore the victim to the original situation before the violations occurred”</w:t>
      </w:r>
      <w:r w:rsidR="0034089F">
        <w:t xml:space="preserve"> and</w:t>
      </w:r>
      <w:r w:rsidR="00930B30" w:rsidRPr="00CC2C8B">
        <w:t xml:space="preserve"> includes restor</w:t>
      </w:r>
      <w:r>
        <w:t>ing</w:t>
      </w:r>
      <w:r w:rsidR="00930B30" w:rsidRPr="00CC2C8B">
        <w:t xml:space="preserve"> liberty</w:t>
      </w:r>
      <w:r w:rsidR="00930B30" w:rsidRPr="00954625">
        <w:t xml:space="preserve">, </w:t>
      </w:r>
      <w:r>
        <w:t xml:space="preserve">employment, property, </w:t>
      </w:r>
      <w:r w:rsidR="00930B30" w:rsidRPr="00954625">
        <w:t xml:space="preserve">enjoyment of human rights, identity, family life and citizenship, </w:t>
      </w:r>
      <w:r>
        <w:t xml:space="preserve">and </w:t>
      </w:r>
      <w:r w:rsidR="00930B30" w:rsidRPr="00954625">
        <w:t>return</w:t>
      </w:r>
      <w:r>
        <w:t>ing</w:t>
      </w:r>
      <w:r w:rsidR="00930B30" w:rsidRPr="00954625">
        <w:t xml:space="preserve"> to one’s place of residence.</w:t>
      </w:r>
      <w:r w:rsidR="00930B30" w:rsidRPr="00CC2C8B">
        <w:t xml:space="preserve"> </w:t>
      </w:r>
      <w:r w:rsidR="00AB402D" w:rsidRPr="00954625">
        <w:t xml:space="preserve"> </w:t>
      </w:r>
    </w:p>
    <w:p w14:paraId="65112307" w14:textId="77777777" w:rsidR="00AB402D" w:rsidRPr="00CC2C8B" w:rsidRDefault="00AB402D"/>
    <w:p w14:paraId="5D79B608" w14:textId="77777777" w:rsidR="00AC72D2" w:rsidRDefault="00956B48" w:rsidP="00930B30">
      <w:r>
        <w:t>Compensation can be provided for physical or mental harm</w:t>
      </w:r>
      <w:r w:rsidR="00AC72D2">
        <w:t>,</w:t>
      </w:r>
      <w:r w:rsidR="00AB402D" w:rsidRPr="00861111">
        <w:t xml:space="preserve"> lost opportunities, including employment, education and social benefits</w:t>
      </w:r>
      <w:r w:rsidR="00AC72D2">
        <w:t>,</w:t>
      </w:r>
      <w:r w:rsidR="00AB402D" w:rsidRPr="00861111">
        <w:t xml:space="preserve"> material</w:t>
      </w:r>
      <w:r w:rsidR="00AC72D2">
        <w:t xml:space="preserve"> and moral</w:t>
      </w:r>
      <w:r w:rsidR="00AB402D" w:rsidRPr="00861111">
        <w:t xml:space="preserve"> </w:t>
      </w:r>
      <w:proofErr w:type="gramStart"/>
      <w:r w:rsidR="00AB402D" w:rsidRPr="00861111">
        <w:t>damages</w:t>
      </w:r>
      <w:r w:rsidR="00AC72D2">
        <w:t>,</w:t>
      </w:r>
      <w:r w:rsidR="00AB402D" w:rsidRPr="00861111">
        <w:t xml:space="preserve"> </w:t>
      </w:r>
      <w:r>
        <w:t xml:space="preserve"> and</w:t>
      </w:r>
      <w:proofErr w:type="gramEnd"/>
      <w:r>
        <w:t xml:space="preserve"> costs for legal or expert assistance, medicine and medical services, and psychological and social services.</w:t>
      </w:r>
      <w:r w:rsidR="00AC72D2">
        <w:t xml:space="preserve"> </w:t>
      </w:r>
      <w:r>
        <w:t xml:space="preserve">Rehabilitation includes medical and psychological care as well as legal and social services. </w:t>
      </w:r>
    </w:p>
    <w:p w14:paraId="21493FBA" w14:textId="77777777" w:rsidR="00AB402D" w:rsidRPr="00CC2C8B" w:rsidRDefault="00AB402D" w:rsidP="00930B30"/>
    <w:p w14:paraId="121E8EDA" w14:textId="77777777" w:rsidR="00600CD5" w:rsidRPr="0034089F" w:rsidRDefault="00956B48" w:rsidP="00930B30">
      <w:r>
        <w:t xml:space="preserve">Satisfaction and guarantees of non-repetition constitute the measures taken to change the social environment, to ensure accurate historical representation and acknowledgement of the past, and to ensure that the violations are stopped in the present and are effectively prevented in the future. </w:t>
      </w:r>
      <w:r w:rsidR="0034089F">
        <w:t xml:space="preserve">The measures described in the Guidelines include public apology and full public disclosure of truth as long as it does no further harm or threaten the safety of the victim. </w:t>
      </w:r>
      <w:r w:rsidR="007B6917">
        <w:t>It also includes promoting the observance of code of conduct and ethical norms by public servants</w:t>
      </w:r>
      <w:r w:rsidR="00AC72D2">
        <w:t>, and</w:t>
      </w:r>
      <w:r w:rsidR="007B6917">
        <w:t xml:space="preserve"> </w:t>
      </w:r>
      <w:r w:rsidR="007B6917" w:rsidRPr="007B6917">
        <w:t xml:space="preserve">reviewing and reforming laws </w:t>
      </w:r>
      <w:r w:rsidR="00D4613B">
        <w:t xml:space="preserve">that may violate </w:t>
      </w:r>
      <w:r w:rsidR="007B6917" w:rsidRPr="007B6917">
        <w:t>international human rights law.</w:t>
      </w:r>
    </w:p>
    <w:p w14:paraId="395AF13A" w14:textId="77777777" w:rsidR="00600CD5" w:rsidRPr="00CC2C8B" w:rsidRDefault="00600CD5" w:rsidP="00930B30"/>
    <w:p w14:paraId="70E5021A" w14:textId="77777777" w:rsidR="00930B30" w:rsidRPr="00CC2C8B" w:rsidRDefault="00DA7E2C" w:rsidP="00930B30">
      <w:r w:rsidRPr="00861111">
        <w:t>The C</w:t>
      </w:r>
      <w:r w:rsidRPr="00BB4B19">
        <w:t>R</w:t>
      </w:r>
      <w:r w:rsidR="00956B48">
        <w:t xml:space="preserve">PD covers some of the same obligations within the context of a binding treaty that states </w:t>
      </w:r>
      <w:r w:rsidR="007B6917">
        <w:t xml:space="preserve">(including the UK) </w:t>
      </w:r>
      <w:r w:rsidR="009E5378" w:rsidRPr="007B6917">
        <w:t>have individually signed and ratified and that pertains particularly to the subject of psychiatric abuse</w:t>
      </w:r>
      <w:r w:rsidRPr="007B6917">
        <w:t xml:space="preserve">.  Article 13 guarantees </w:t>
      </w:r>
      <w:r w:rsidR="00193E23" w:rsidRPr="007B6917">
        <w:t>effective access to justice to persons with disabilities on an equal basis with others</w:t>
      </w:r>
      <w:r w:rsidR="00D4613B">
        <w:t xml:space="preserve"> and</w:t>
      </w:r>
      <w:r w:rsidR="00193E23" w:rsidRPr="007B6917">
        <w:t xml:space="preserve"> Article 16 requires states to take </w:t>
      </w:r>
      <w:r w:rsidR="00193E23" w:rsidRPr="00861111">
        <w:t xml:space="preserve">measures </w:t>
      </w:r>
      <w:r w:rsidR="00193E23" w:rsidRPr="00BB4B19">
        <w:t xml:space="preserve">to promote </w:t>
      </w:r>
      <w:r w:rsidR="00956B48">
        <w:t>recovery, rehabilitation and social reintegration of persons with disabilities who become victims of any form of exploitation, violence and abuse</w:t>
      </w:r>
      <w:r w:rsidR="00D4613B">
        <w:t>.</w:t>
      </w:r>
      <w:r w:rsidR="00956B48">
        <w:t xml:space="preserve"> Article 4.1(a) and (b) require states to implement legislation and abolish discriminatory laws and practices. </w:t>
      </w:r>
    </w:p>
    <w:p w14:paraId="1C8E9CF4" w14:textId="77777777" w:rsidR="009E5378" w:rsidRPr="00CC2C8B" w:rsidRDefault="009E5378"/>
    <w:p w14:paraId="2627F9B6" w14:textId="77777777" w:rsidR="001D4FE4" w:rsidRPr="00D4613B" w:rsidRDefault="00956B48">
      <w:pPr>
        <w:rPr>
          <w:b/>
        </w:rPr>
      </w:pPr>
      <w:r w:rsidRPr="00956B48">
        <w:rPr>
          <w:b/>
        </w:rPr>
        <w:t>Avenues for Advocacy</w:t>
      </w:r>
    </w:p>
    <w:p w14:paraId="66A37004" w14:textId="77777777" w:rsidR="009E5378" w:rsidRPr="00CC2C8B" w:rsidRDefault="009E5378"/>
    <w:p w14:paraId="270D2C6F" w14:textId="77777777" w:rsidR="001D4FE4" w:rsidRPr="00954625" w:rsidRDefault="00956B48">
      <w:r>
        <w:t>The Committee on the Rights of Persons with Disabilities can receive individual complaints of violations, and can also undertake investigative visits, in states that have ratified its Optional Protocol, leading to recommendations for remedial measures.</w:t>
      </w:r>
      <w:r w:rsidR="009E5378" w:rsidRPr="00CC2C8B">
        <w:t xml:space="preserve">  The Committee also receives reports of </w:t>
      </w:r>
      <w:r w:rsidR="001D4FE4" w:rsidRPr="00954625">
        <w:t>non-governmental organi</w:t>
      </w:r>
      <w:r w:rsidR="007B6917">
        <w:t>s</w:t>
      </w:r>
      <w:r w:rsidR="001D4FE4" w:rsidRPr="00954625">
        <w:t xml:space="preserve">ations </w:t>
      </w:r>
      <w:r w:rsidR="009E5378" w:rsidRPr="00712147">
        <w:t xml:space="preserve">on the general situation in a </w:t>
      </w:r>
      <w:r w:rsidR="007B6917">
        <w:t>country</w:t>
      </w:r>
      <w:r w:rsidR="009E5378" w:rsidRPr="00712147">
        <w:t>, which it considers in formulating questions and making concluding observations</w:t>
      </w:r>
      <w:r w:rsidR="001D4FE4" w:rsidRPr="0034089F">
        <w:t xml:space="preserve"> on th</w:t>
      </w:r>
      <w:r w:rsidR="007B6917">
        <w:t xml:space="preserve">at </w:t>
      </w:r>
      <w:proofErr w:type="gramStart"/>
      <w:r w:rsidR="007B6917">
        <w:t xml:space="preserve">country’s </w:t>
      </w:r>
      <w:r w:rsidR="001D4FE4" w:rsidRPr="0034089F">
        <w:t xml:space="preserve"> report</w:t>
      </w:r>
      <w:proofErr w:type="gramEnd"/>
      <w:r w:rsidR="001D4FE4" w:rsidRPr="0034089F">
        <w:t>.</w:t>
      </w:r>
      <w:r w:rsidR="001D4FE4" w:rsidRPr="00CC2C8B">
        <w:t xml:space="preserve">  Users and survivors of psychiatry can make reference to the Guidelines to complem</w:t>
      </w:r>
      <w:r w:rsidR="001D4FE4" w:rsidRPr="00712147">
        <w:t xml:space="preserve">ent the provisions of the CRPD in seeking remedies and reparation for psychiatric abuse. </w:t>
      </w:r>
      <w:r w:rsidR="0099792D" w:rsidRPr="007B6917">
        <w:t xml:space="preserve"> The Guidelines can be used similarly in complaints and reports to other treaty bodies</w:t>
      </w:r>
      <w:r w:rsidR="000F738B">
        <w:t>. The</w:t>
      </w:r>
      <w:r w:rsidR="0099792D" w:rsidRPr="00CC2C8B">
        <w:t xml:space="preserve"> </w:t>
      </w:r>
      <w:r w:rsidR="000F738B">
        <w:t xml:space="preserve">Office of </w:t>
      </w:r>
      <w:r w:rsidR="000F738B">
        <w:lastRenderedPageBreak/>
        <w:t>the High Commissioner for Human Rights has a handbook for non-governmental organisations which has information on UN human rights mechanisms.  It is a good idea to research the mechanism’s legal workings before interacting with them.</w:t>
      </w:r>
      <w:r w:rsidR="0099792D" w:rsidRPr="00CC2C8B">
        <w:t xml:space="preserve">     </w:t>
      </w:r>
    </w:p>
    <w:p w14:paraId="3F6E7624" w14:textId="77777777" w:rsidR="001D4FE4" w:rsidRPr="00CC2C8B" w:rsidRDefault="001D4FE4"/>
    <w:p w14:paraId="0BB7186D" w14:textId="77777777" w:rsidR="001D4FE4" w:rsidRPr="00CC2C8B" w:rsidRDefault="00956B48">
      <w:r>
        <w:t>National human rights institutions and national mechanisms for prevention of torture could be requested to participate in, or sponsor, a call for remedy and reparation for psychiatric abuse as a widespread gross human rights violation.</w:t>
      </w:r>
    </w:p>
    <w:p w14:paraId="0A30BCCE" w14:textId="77777777" w:rsidR="001D4FE4" w:rsidRPr="00CC2C8B" w:rsidRDefault="001D4FE4"/>
    <w:p w14:paraId="0AC7EEF3" w14:textId="77777777" w:rsidR="0099792D" w:rsidRPr="00CC2C8B" w:rsidRDefault="00956B48">
      <w:r>
        <w:t>Domestic lawsuits (depending on the status of international law in a country’s courts</w:t>
      </w:r>
      <w:r w:rsidR="008D3805">
        <w:t>)</w:t>
      </w:r>
      <w:r>
        <w:t xml:space="preserve"> and cases in regional human rights courts and commissions are other ways of pursuing reparations.  The International Criminal Court could decide to prosecute one or more cases of psychiatric abuse as a global phenomenon satisfying the criteria of crimes against humanity.</w:t>
      </w:r>
    </w:p>
    <w:p w14:paraId="33269806" w14:textId="77777777" w:rsidR="0099792D" w:rsidRDefault="0099792D"/>
    <w:p w14:paraId="6AA2FD69" w14:textId="77777777" w:rsidR="008D3805" w:rsidRDefault="008D3805">
      <w:pPr>
        <w:rPr>
          <w:b/>
        </w:rPr>
      </w:pPr>
      <w:r>
        <w:rPr>
          <w:b/>
        </w:rPr>
        <w:t>Public action</w:t>
      </w:r>
    </w:p>
    <w:p w14:paraId="09E0A02E" w14:textId="77777777" w:rsidR="008D3805" w:rsidRPr="008D3805" w:rsidRDefault="008D3805">
      <w:pPr>
        <w:rPr>
          <w:b/>
        </w:rPr>
      </w:pPr>
    </w:p>
    <w:p w14:paraId="096DC1EE" w14:textId="77777777" w:rsidR="001D4FE4" w:rsidRPr="00CC2C8B" w:rsidRDefault="00956B48">
      <w:r>
        <w:t>The demand for remedy and reparation can also be advanced politically, through demonstrations, speak</w:t>
      </w:r>
      <w:r w:rsidR="008D3805">
        <w:t>-</w:t>
      </w:r>
      <w:r w:rsidR="0099792D" w:rsidRPr="00861111">
        <w:t>outs, tribunals, and truth-and-reconciliation processes organi</w:t>
      </w:r>
      <w:r w:rsidR="000F738B">
        <w:t>s</w:t>
      </w:r>
      <w:r w:rsidR="0099792D" w:rsidRPr="000F738B">
        <w:t xml:space="preserve">ed by </w:t>
      </w:r>
      <w:r w:rsidR="000F738B">
        <w:t>the public</w:t>
      </w:r>
      <w:r w:rsidR="0099792D" w:rsidRPr="000F738B">
        <w:t xml:space="preserve">.  Such processes need to be </w:t>
      </w:r>
      <w:r w:rsidR="006965CD" w:rsidRPr="000F738B">
        <w:t xml:space="preserve">accountable to victims/survivors and </w:t>
      </w:r>
      <w:r w:rsidR="008D3805">
        <w:t>not be</w:t>
      </w:r>
      <w:r w:rsidR="006965CD" w:rsidRPr="000F738B">
        <w:t xml:space="preserve"> control</w:t>
      </w:r>
      <w:r w:rsidR="008D3805">
        <w:t>led by</w:t>
      </w:r>
      <w:r w:rsidR="006965CD" w:rsidRPr="000F738B">
        <w:t xml:space="preserve"> current or former perpetrators.</w:t>
      </w:r>
      <w:r>
        <w:t xml:space="preserve">  </w:t>
      </w:r>
    </w:p>
    <w:p w14:paraId="52B58A4C" w14:textId="77777777" w:rsidR="005B1754" w:rsidRPr="00CC2C8B" w:rsidRDefault="005B1754"/>
    <w:p w14:paraId="1987605A" w14:textId="77777777" w:rsidR="003F20B0" w:rsidRDefault="00956B48">
      <w:r>
        <w:t xml:space="preserve">Our movement in every country will need to make political decisions about how and when to advocate for the right to a remedy and reparations as part of a strategy to end psychiatric abuse, abolish commitment/forced treatment laws, create the conditions for individual and collective healing from this abuse, and create a society that will not tolerate such abuses in the future.  </w:t>
      </w:r>
    </w:p>
    <w:p w14:paraId="79880EE5" w14:textId="77777777" w:rsidR="002A7A07" w:rsidRDefault="002A7A07"/>
    <w:p w14:paraId="73B05BDA" w14:textId="77777777" w:rsidR="002A7A07" w:rsidRDefault="002A7A07">
      <w:pPr>
        <w:rPr>
          <w:color w:val="FF0000"/>
        </w:rPr>
      </w:pPr>
      <w:r>
        <w:rPr>
          <w:color w:val="FF0000"/>
        </w:rPr>
        <w:t>[Footnotes]</w:t>
      </w:r>
    </w:p>
    <w:p w14:paraId="4FC0B35B" w14:textId="77777777" w:rsidR="002A7A07" w:rsidRDefault="002A7A07">
      <w:pPr>
        <w:rPr>
          <w:color w:val="FF0000"/>
        </w:rPr>
      </w:pPr>
    </w:p>
    <w:p w14:paraId="2EAD78F6" w14:textId="77777777" w:rsidR="002A7A07" w:rsidRDefault="002A7A07">
      <w:r w:rsidRPr="00BB4B19">
        <w:rPr>
          <w:vertAlign w:val="superscript"/>
        </w:rPr>
        <w:t>1</w:t>
      </w:r>
      <w:r>
        <w:t xml:space="preserve"> Minkowitz, T (2007) ‘The UN CRPD and the right to be free from nonconsensual psychiatric interventions</w:t>
      </w:r>
      <w:r w:rsidR="00834521">
        <w:t>’,</w:t>
      </w:r>
      <w:r>
        <w:t xml:space="preserve"> </w:t>
      </w:r>
      <w:r w:rsidRPr="00BB4B19">
        <w:rPr>
          <w:i/>
        </w:rPr>
        <w:t>Syracuse Journal of International Law and Commerce</w:t>
      </w:r>
      <w:r>
        <w:t xml:space="preserve">, </w:t>
      </w:r>
      <w:r w:rsidRPr="00155215">
        <w:rPr>
          <w:highlight w:val="yellow"/>
        </w:rPr>
        <w:t>3</w:t>
      </w:r>
      <w:r w:rsidR="00834521" w:rsidRPr="00BB4B19">
        <w:rPr>
          <w:highlight w:val="yellow"/>
        </w:rPr>
        <w:t>4</w:t>
      </w:r>
      <w:r>
        <w:t xml:space="preserve"> (2)</w:t>
      </w:r>
    </w:p>
    <w:p w14:paraId="5006331C" w14:textId="77777777" w:rsidR="00D26F04" w:rsidRDefault="00D26F04"/>
    <w:p w14:paraId="18E3866D" w14:textId="77777777" w:rsidR="00D26F04" w:rsidRDefault="00D26F04">
      <w:r>
        <w:t xml:space="preserve">2 Minkowitz, T </w:t>
      </w:r>
      <w:r w:rsidRPr="00BB4B19">
        <w:rPr>
          <w:highlight w:val="yellow"/>
        </w:rPr>
        <w:t>(</w:t>
      </w:r>
      <w:r w:rsidR="00834521">
        <w:rPr>
          <w:highlight w:val="yellow"/>
        </w:rPr>
        <w:t>2007</w:t>
      </w:r>
      <w:r w:rsidRPr="00BB4B19">
        <w:rPr>
          <w:highlight w:val="yellow"/>
        </w:rPr>
        <w:t>)</w:t>
      </w:r>
      <w:r>
        <w:t xml:space="preserve"> ‘Forced interventions and institutionalization from the perspective of persons with disabilities</w:t>
      </w:r>
      <w:r w:rsidR="00834521">
        <w:t>’,</w:t>
      </w:r>
      <w:r>
        <w:t xml:space="preserve"> Annex III</w:t>
      </w:r>
      <w:r w:rsidR="00834521">
        <w:t xml:space="preserve">, </w:t>
      </w:r>
      <w:r w:rsidR="00834521" w:rsidRPr="00BB4B19">
        <w:rPr>
          <w:i/>
        </w:rPr>
        <w:t>Report of OHCHR e</w:t>
      </w:r>
      <w:r w:rsidRPr="00BB4B19">
        <w:rPr>
          <w:i/>
        </w:rPr>
        <w:t xml:space="preserve">xpert </w:t>
      </w:r>
      <w:r w:rsidR="00834521" w:rsidRPr="00BB4B19">
        <w:rPr>
          <w:i/>
        </w:rPr>
        <w:t>s</w:t>
      </w:r>
      <w:r w:rsidRPr="00BB4B19">
        <w:rPr>
          <w:i/>
        </w:rPr>
        <w:t xml:space="preserve">eminar on </w:t>
      </w:r>
      <w:r w:rsidR="00834521" w:rsidRPr="00BB4B19">
        <w:rPr>
          <w:i/>
        </w:rPr>
        <w:t>t</w:t>
      </w:r>
      <w:r w:rsidRPr="00BB4B19">
        <w:rPr>
          <w:i/>
        </w:rPr>
        <w:t xml:space="preserve">orture and </w:t>
      </w:r>
      <w:r w:rsidR="00834521" w:rsidRPr="00BB4B19">
        <w:rPr>
          <w:i/>
        </w:rPr>
        <w:t>p</w:t>
      </w:r>
      <w:r w:rsidRPr="00BB4B19">
        <w:rPr>
          <w:i/>
        </w:rPr>
        <w:t xml:space="preserve">ersons with </w:t>
      </w:r>
      <w:r w:rsidR="00834521" w:rsidRPr="00BB4B19">
        <w:rPr>
          <w:i/>
        </w:rPr>
        <w:t>d</w:t>
      </w:r>
      <w:r w:rsidRPr="00BB4B19">
        <w:rPr>
          <w:i/>
        </w:rPr>
        <w:t>isabilities</w:t>
      </w:r>
      <w:r>
        <w:t>.</w:t>
      </w:r>
    </w:p>
    <w:p w14:paraId="6BA8C17C" w14:textId="77777777" w:rsidR="00861111" w:rsidRDefault="00861111"/>
    <w:p w14:paraId="4413B399" w14:textId="77777777" w:rsidR="00861111" w:rsidRDefault="00861111">
      <w:pPr>
        <w:rPr>
          <w:color w:val="FF0000"/>
        </w:rPr>
      </w:pPr>
      <w:r>
        <w:rPr>
          <w:color w:val="FF0000"/>
        </w:rPr>
        <w:t>[End box 1]</w:t>
      </w:r>
    </w:p>
    <w:p w14:paraId="42DDD0AB" w14:textId="77777777" w:rsidR="00861111" w:rsidRDefault="00861111">
      <w:pPr>
        <w:rPr>
          <w:color w:val="FF0000"/>
        </w:rPr>
      </w:pPr>
      <w:r w:rsidRPr="00BB4B19">
        <w:t xml:space="preserve">Tina Minkowitz is available to answer any questions arising from this article: </w:t>
      </w:r>
      <w:hyperlink r:id="rId7" w:history="1">
        <w:r w:rsidRPr="00FC1D91">
          <w:rPr>
            <w:rStyle w:val="Hyperlink"/>
          </w:rPr>
          <w:t>tminkowitz@earthlink.net</w:t>
        </w:r>
      </w:hyperlink>
      <w:r>
        <w:rPr>
          <w:color w:val="FF0000"/>
        </w:rPr>
        <w:t xml:space="preserve"> </w:t>
      </w:r>
    </w:p>
    <w:p w14:paraId="529B1307" w14:textId="77777777" w:rsidR="00861111" w:rsidRDefault="00861111">
      <w:pPr>
        <w:rPr>
          <w:color w:val="FF0000"/>
        </w:rPr>
      </w:pPr>
    </w:p>
    <w:p w14:paraId="2235C465" w14:textId="77777777" w:rsidR="00861111" w:rsidRDefault="00861111">
      <w:pPr>
        <w:rPr>
          <w:color w:val="FF0000"/>
        </w:rPr>
      </w:pPr>
      <w:r>
        <w:rPr>
          <w:color w:val="FF0000"/>
        </w:rPr>
        <w:t>[End box 2]</w:t>
      </w:r>
    </w:p>
    <w:p w14:paraId="03BC09CC" w14:textId="77777777" w:rsidR="00861111" w:rsidRDefault="00861111">
      <w:r>
        <w:t>Resources:</w:t>
      </w:r>
    </w:p>
    <w:p w14:paraId="5FD085F0" w14:textId="77777777" w:rsidR="00BB4B19" w:rsidRDefault="00BB4B19"/>
    <w:p w14:paraId="5DAF362E" w14:textId="77777777" w:rsidR="00861111" w:rsidRDefault="00861111">
      <w:r>
        <w:t xml:space="preserve">Report by the Special Rapporteur on Torture: </w:t>
      </w:r>
      <w:hyperlink r:id="rId8" w:history="1">
        <w:r w:rsidRPr="00FC1D91">
          <w:rPr>
            <w:rStyle w:val="Hyperlink"/>
          </w:rPr>
          <w:t>http://www.unhcr.org/refworld/pdfid/48db99e82.pdf</w:t>
        </w:r>
      </w:hyperlink>
    </w:p>
    <w:p w14:paraId="25BE756E" w14:textId="77777777" w:rsidR="00861111" w:rsidRDefault="00861111"/>
    <w:p w14:paraId="16ABB3F6" w14:textId="77777777" w:rsidR="00861111" w:rsidRDefault="00861111">
      <w:r>
        <w:t xml:space="preserve">UN Guidelines on Right to Remedy and Reparations: </w:t>
      </w:r>
      <w:hyperlink r:id="rId9" w:history="1">
        <w:r w:rsidRPr="00FC1D91">
          <w:rPr>
            <w:rStyle w:val="Hyperlink"/>
          </w:rPr>
          <w:t>http://www2.ohchr.org/english/law/remedy.htm</w:t>
        </w:r>
      </w:hyperlink>
      <w:r>
        <w:t xml:space="preserve"> </w:t>
      </w:r>
    </w:p>
    <w:p w14:paraId="5423A448" w14:textId="77777777" w:rsidR="00BB4B19" w:rsidRDefault="00BB4B19"/>
    <w:p w14:paraId="766235AB" w14:textId="77777777" w:rsidR="00BB4B19" w:rsidRPr="00BB4B19" w:rsidRDefault="00BB4B19">
      <w:proofErr w:type="spellStart"/>
      <w:r>
        <w:t>Center</w:t>
      </w:r>
      <w:proofErr w:type="spellEnd"/>
      <w:r>
        <w:t xml:space="preserve"> for the Human Rights of Users and Survivors of Psychiatry: </w:t>
      </w:r>
      <w:hyperlink r:id="rId10" w:history="1">
        <w:r>
          <w:rPr>
            <w:rStyle w:val="Hyperlink"/>
          </w:rPr>
          <w:t>www.chrusp.org</w:t>
        </w:r>
      </w:hyperlink>
    </w:p>
    <w:sectPr w:rsidR="00BB4B19" w:rsidRPr="00BB4B19" w:rsidSect="003F20B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CA7C0" w14:textId="77777777" w:rsidR="00235435" w:rsidRDefault="00235435">
      <w:r>
        <w:separator/>
      </w:r>
    </w:p>
  </w:endnote>
  <w:endnote w:type="continuationSeparator" w:id="0">
    <w:p w14:paraId="31A14714" w14:textId="77777777" w:rsidR="00235435" w:rsidRDefault="0023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F0628" w14:textId="77777777" w:rsidR="00235435" w:rsidRDefault="00235435">
      <w:r>
        <w:separator/>
      </w:r>
    </w:p>
  </w:footnote>
  <w:footnote w:type="continuationSeparator" w:id="0">
    <w:p w14:paraId="6DBFC508" w14:textId="77777777" w:rsidR="00235435" w:rsidRDefault="00235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939AF"/>
    <w:multiLevelType w:val="hybridMultilevel"/>
    <w:tmpl w:val="443C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596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embedSystemFonts/>
  <w:proofState w:spelling="clean" w:grammar="clean"/>
  <w:documentProtection w:edit="readOnly" w:enforcement="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0B0"/>
    <w:rsid w:val="00053C44"/>
    <w:rsid w:val="00082BB9"/>
    <w:rsid w:val="000E769B"/>
    <w:rsid w:val="000F738B"/>
    <w:rsid w:val="00141065"/>
    <w:rsid w:val="001616E0"/>
    <w:rsid w:val="00193E23"/>
    <w:rsid w:val="001A7120"/>
    <w:rsid w:val="001D4FE4"/>
    <w:rsid w:val="00235435"/>
    <w:rsid w:val="0026141F"/>
    <w:rsid w:val="002A7A07"/>
    <w:rsid w:val="002D0A3F"/>
    <w:rsid w:val="0034089F"/>
    <w:rsid w:val="003A51A9"/>
    <w:rsid w:val="003B61FF"/>
    <w:rsid w:val="003E3DA5"/>
    <w:rsid w:val="003E7CFC"/>
    <w:rsid w:val="003F20B0"/>
    <w:rsid w:val="00452E53"/>
    <w:rsid w:val="004C23B3"/>
    <w:rsid w:val="00506D6E"/>
    <w:rsid w:val="00594515"/>
    <w:rsid w:val="005B1754"/>
    <w:rsid w:val="005C0527"/>
    <w:rsid w:val="00600CD5"/>
    <w:rsid w:val="0061170E"/>
    <w:rsid w:val="006258C2"/>
    <w:rsid w:val="006878EE"/>
    <w:rsid w:val="006965CD"/>
    <w:rsid w:val="006F6EA7"/>
    <w:rsid w:val="00712147"/>
    <w:rsid w:val="007952CA"/>
    <w:rsid w:val="007B6917"/>
    <w:rsid w:val="008327FF"/>
    <w:rsid w:val="00834521"/>
    <w:rsid w:val="00861111"/>
    <w:rsid w:val="00882F12"/>
    <w:rsid w:val="008A19D8"/>
    <w:rsid w:val="008D3805"/>
    <w:rsid w:val="00930B30"/>
    <w:rsid w:val="00954625"/>
    <w:rsid w:val="00956B48"/>
    <w:rsid w:val="00980D70"/>
    <w:rsid w:val="0099792D"/>
    <w:rsid w:val="009E1075"/>
    <w:rsid w:val="009E5378"/>
    <w:rsid w:val="00A12A13"/>
    <w:rsid w:val="00AB402D"/>
    <w:rsid w:val="00AC72D2"/>
    <w:rsid w:val="00AD749A"/>
    <w:rsid w:val="00B4272A"/>
    <w:rsid w:val="00BA4174"/>
    <w:rsid w:val="00BB4B19"/>
    <w:rsid w:val="00BB6F59"/>
    <w:rsid w:val="00BD0CFE"/>
    <w:rsid w:val="00BF6DF7"/>
    <w:rsid w:val="00C24884"/>
    <w:rsid w:val="00CC2C8B"/>
    <w:rsid w:val="00D07224"/>
    <w:rsid w:val="00D26F04"/>
    <w:rsid w:val="00D4613B"/>
    <w:rsid w:val="00DA7E2C"/>
    <w:rsid w:val="00DD114E"/>
    <w:rsid w:val="00DD3EC9"/>
    <w:rsid w:val="00E2756F"/>
    <w:rsid w:val="00E35F55"/>
    <w:rsid w:val="00EA0388"/>
    <w:rsid w:val="00EA25DB"/>
    <w:rsid w:val="00F20209"/>
    <w:rsid w:val="00F677DB"/>
    <w:rsid w:val="00FA5A1D"/>
    <w:rsid w:val="00FC54C4"/>
    <w:rsid w:val="00FE52B8"/>
  </w:rsids>
  <m:mathPr>
    <m:mathFont m:val="Cambria Math"/>
    <m:brkBin m:val="before"/>
    <m:brkBinSub m:val="--"/>
    <m:smallFrac/>
    <m:dispDef/>
    <m:lMargin m:val="0"/>
    <m:rMargin m:val="0"/>
    <m:defJc m:val="centerGroup"/>
    <m:wrapRight/>
    <m:intLim m:val="subSup"/>
    <m:naryLim m:val="subSup"/>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6119E"/>
  <w15:docId w15:val="{A42902ED-E1B1-2B40-A84B-58EA376C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475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CC2C8B"/>
    <w:rPr>
      <w:rFonts w:ascii="Tahoma" w:hAnsi="Tahoma" w:cs="Tahoma"/>
      <w:sz w:val="16"/>
      <w:szCs w:val="16"/>
    </w:rPr>
  </w:style>
  <w:style w:type="character" w:customStyle="1" w:styleId="BalloonTextChar">
    <w:name w:val="Balloon Text Char"/>
    <w:basedOn w:val="DefaultParagraphFont"/>
    <w:uiPriority w:val="99"/>
    <w:semiHidden/>
    <w:rsid w:val="002A1625"/>
    <w:rPr>
      <w:rFonts w:ascii="Lucida Grande" w:hAnsi="Lucida Grande"/>
      <w:sz w:val="18"/>
      <w:szCs w:val="18"/>
    </w:rPr>
  </w:style>
  <w:style w:type="paragraph" w:styleId="FootnoteText">
    <w:name w:val="footnote text"/>
    <w:basedOn w:val="Normal"/>
    <w:link w:val="FootnoteTextChar"/>
    <w:uiPriority w:val="99"/>
    <w:semiHidden/>
    <w:unhideWhenUsed/>
    <w:rsid w:val="00980D70"/>
  </w:style>
  <w:style w:type="character" w:customStyle="1" w:styleId="FootnoteTextChar">
    <w:name w:val="Footnote Text Char"/>
    <w:basedOn w:val="DefaultParagraphFont"/>
    <w:link w:val="FootnoteText"/>
    <w:uiPriority w:val="99"/>
    <w:semiHidden/>
    <w:rsid w:val="00980D70"/>
  </w:style>
  <w:style w:type="character" w:styleId="FootnoteReference">
    <w:name w:val="footnote reference"/>
    <w:basedOn w:val="DefaultParagraphFont"/>
    <w:uiPriority w:val="99"/>
    <w:semiHidden/>
    <w:unhideWhenUsed/>
    <w:rsid w:val="00980D70"/>
    <w:rPr>
      <w:vertAlign w:val="superscript"/>
    </w:rPr>
  </w:style>
  <w:style w:type="paragraph" w:styleId="ListParagraph">
    <w:name w:val="List Paragraph"/>
    <w:basedOn w:val="Normal"/>
    <w:rsid w:val="00B4272A"/>
    <w:pPr>
      <w:ind w:left="720"/>
      <w:contextualSpacing/>
    </w:pPr>
  </w:style>
  <w:style w:type="character" w:customStyle="1" w:styleId="BalloonTextChar1">
    <w:name w:val="Balloon Text Char1"/>
    <w:basedOn w:val="DefaultParagraphFont"/>
    <w:link w:val="BalloonText"/>
    <w:rsid w:val="00CC2C8B"/>
    <w:rPr>
      <w:rFonts w:ascii="Tahoma" w:hAnsi="Tahoma" w:cs="Tahoma"/>
      <w:sz w:val="16"/>
      <w:szCs w:val="16"/>
    </w:rPr>
  </w:style>
  <w:style w:type="character" w:styleId="Hyperlink">
    <w:name w:val="Hyperlink"/>
    <w:basedOn w:val="DefaultParagraphFont"/>
    <w:rsid w:val="00861111"/>
    <w:rPr>
      <w:color w:val="0000FF" w:themeColor="hyperlink"/>
      <w:u w:val="single"/>
    </w:rPr>
  </w:style>
  <w:style w:type="paragraph" w:styleId="Revision">
    <w:name w:val="Revision"/>
    <w:hidden/>
    <w:rsid w:val="00EA038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hcr.org/refworld/pdfid/48db99e82.pdf" TargetMode="External"/><Relationship Id="rId3" Type="http://schemas.openxmlformats.org/officeDocument/2006/relationships/settings" Target="settings.xml"/><Relationship Id="rId7" Type="http://schemas.openxmlformats.org/officeDocument/2006/relationships/hyperlink" Target="mailto:tminkowitz@earthlink.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hrusp.org" TargetMode="External"/><Relationship Id="rId4" Type="http://schemas.openxmlformats.org/officeDocument/2006/relationships/webSettings" Target="webSettings.xml"/><Relationship Id="rId9" Type="http://schemas.openxmlformats.org/officeDocument/2006/relationships/hyperlink" Target="http://www2.ohchr.org/english/law/remed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1221</Words>
  <Characters>6964</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Minkowitz</dc:creator>
  <cp:lastModifiedBy>Tina Minkowitz</cp:lastModifiedBy>
  <cp:revision>2</cp:revision>
  <dcterms:created xsi:type="dcterms:W3CDTF">2025-09-28T17:08:00Z</dcterms:created>
  <dcterms:modified xsi:type="dcterms:W3CDTF">2025-09-28T17:08:00Z</dcterms:modified>
</cp:coreProperties>
</file>